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92C" w:rsidRPr="008906D3" w:rsidRDefault="0075092C" w:rsidP="0075092C">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Suplemento Registro Oficial No. 681, Lunes 01 de Febrero de 2016</w:t>
      </w:r>
    </w:p>
    <w:p w:rsidR="0075092C" w:rsidRPr="008906D3" w:rsidRDefault="0075092C" w:rsidP="0075092C">
      <w:pPr>
        <w:shd w:val="clear" w:color="auto" w:fill="FFFFFF"/>
        <w:spacing w:after="0" w:line="240" w:lineRule="auto"/>
        <w:jc w:val="center"/>
        <w:rPr>
          <w:rFonts w:ascii="Tahoma" w:eastAsia="Times New Roman" w:hAnsi="Tahoma" w:cs="Tahoma"/>
          <w:b/>
          <w:bCs/>
          <w:color w:val="000000"/>
          <w:sz w:val="16"/>
          <w:szCs w:val="16"/>
          <w:lang w:eastAsia="es-ES"/>
        </w:rPr>
      </w:pPr>
    </w:p>
    <w:p w:rsidR="0075092C" w:rsidRPr="008906D3" w:rsidRDefault="0075092C" w:rsidP="0075092C">
      <w:pPr>
        <w:pStyle w:val="Prrafodelista"/>
        <w:numPr>
          <w:ilvl w:val="0"/>
          <w:numId w:val="2"/>
        </w:numPr>
        <w:shd w:val="clear" w:color="auto" w:fill="FFFFFF"/>
        <w:spacing w:after="0" w:line="240" w:lineRule="auto"/>
        <w:jc w:val="both"/>
        <w:rPr>
          <w:rFonts w:ascii="Tahoma" w:eastAsia="Times New Roman" w:hAnsi="Tahoma" w:cs="Tahoma"/>
          <w:b/>
          <w:bCs/>
          <w:color w:val="010000"/>
          <w:sz w:val="18"/>
          <w:szCs w:val="18"/>
          <w:lang w:eastAsia="es-ES"/>
        </w:rPr>
      </w:pPr>
      <w:r w:rsidRPr="008906D3">
        <w:rPr>
          <w:rFonts w:ascii="Tahoma" w:hAnsi="Tahoma" w:cs="Tahoma"/>
          <w:b/>
          <w:color w:val="0070C0"/>
          <w:sz w:val="18"/>
          <w:szCs w:val="18"/>
        </w:rPr>
        <w:t xml:space="preserve">Resolución </w:t>
      </w:r>
      <w:hyperlink r:id="rId6" w:history="1">
        <w:r w:rsidRPr="008906D3">
          <w:rPr>
            <w:rStyle w:val="Hipervnculo"/>
            <w:rFonts w:ascii="Tahoma" w:hAnsi="Tahoma" w:cs="Tahoma"/>
            <w:b/>
            <w:color w:val="0070C0"/>
            <w:sz w:val="18"/>
            <w:szCs w:val="18"/>
            <w:u w:val="none"/>
            <w:shd w:val="clear" w:color="auto" w:fill="FFFFFF"/>
          </w:rPr>
          <w:t>NAC-DGERCGC16-00000035</w:t>
        </w:r>
      </w:hyperlink>
      <w:r w:rsidRPr="008906D3">
        <w:rPr>
          <w:rFonts w:ascii="Tahoma" w:hAnsi="Tahoma" w:cs="Tahoma"/>
          <w:b/>
          <w:color w:val="0070C0"/>
          <w:sz w:val="18"/>
          <w:szCs w:val="18"/>
          <w:shd w:val="clear" w:color="auto" w:fill="FFFFFF"/>
        </w:rPr>
        <w:t>:</w:t>
      </w:r>
      <w:r w:rsidRPr="008906D3">
        <w:rPr>
          <w:rFonts w:ascii="Tahoma" w:hAnsi="Tahoma" w:cs="Tahoma"/>
          <w:color w:val="0070C0"/>
          <w:sz w:val="18"/>
          <w:szCs w:val="18"/>
          <w:shd w:val="clear" w:color="auto" w:fill="FFFFFF"/>
        </w:rPr>
        <w:t xml:space="preserve"> </w:t>
      </w:r>
      <w:proofErr w:type="spellStart"/>
      <w:r w:rsidRPr="008906D3">
        <w:rPr>
          <w:rFonts w:ascii="Tahoma" w:hAnsi="Tahoma" w:cs="Tahoma"/>
          <w:color w:val="000000"/>
          <w:sz w:val="18"/>
          <w:szCs w:val="18"/>
          <w:shd w:val="clear" w:color="auto" w:fill="FFFFFF"/>
        </w:rPr>
        <w:t>Establécese</w:t>
      </w:r>
      <w:proofErr w:type="spellEnd"/>
      <w:r w:rsidRPr="008906D3">
        <w:rPr>
          <w:rFonts w:ascii="Tahoma" w:hAnsi="Tahoma" w:cs="Tahoma"/>
          <w:color w:val="000000"/>
          <w:sz w:val="18"/>
          <w:szCs w:val="18"/>
          <w:shd w:val="clear" w:color="auto" w:fill="FFFFFF"/>
        </w:rPr>
        <w:t xml:space="preserve"> el procedimiento para obtener la exoneración provisional del impuesto a las tierras rurales</w:t>
      </w:r>
      <w:r w:rsidRPr="008906D3">
        <w:rPr>
          <w:rStyle w:val="apple-converted-space"/>
          <w:rFonts w:ascii="Tahoma" w:hAnsi="Tahoma" w:cs="Tahoma"/>
          <w:color w:val="000000"/>
          <w:sz w:val="18"/>
          <w:szCs w:val="18"/>
          <w:shd w:val="clear" w:color="auto" w:fill="FFFFFF"/>
        </w:rPr>
        <w:t> </w:t>
      </w:r>
    </w:p>
    <w:p w:rsidR="0075092C" w:rsidRPr="008906D3" w:rsidRDefault="0075092C" w:rsidP="0075092C">
      <w:pPr>
        <w:shd w:val="clear" w:color="auto" w:fill="FFFFFF"/>
        <w:spacing w:after="0" w:line="240" w:lineRule="auto"/>
        <w:jc w:val="both"/>
        <w:rPr>
          <w:rFonts w:ascii="Tahoma" w:eastAsia="Times New Roman" w:hAnsi="Tahoma" w:cs="Tahoma"/>
          <w:b/>
          <w:bCs/>
          <w:color w:val="010000"/>
          <w:sz w:val="18"/>
          <w:szCs w:val="18"/>
          <w:lang w:eastAsia="es-ES"/>
        </w:rPr>
      </w:pPr>
    </w:p>
    <w:p w:rsidR="0075092C" w:rsidRPr="00F2634A" w:rsidRDefault="0075092C" w:rsidP="0075092C">
      <w:pPr>
        <w:spacing w:after="0" w:line="240" w:lineRule="auto"/>
        <w:jc w:val="center"/>
        <w:rPr>
          <w:rFonts w:ascii="Tahoma" w:eastAsia="Times New Roman" w:hAnsi="Tahoma" w:cs="Tahoma"/>
          <w:b/>
          <w:bCs/>
          <w:sz w:val="14"/>
          <w:szCs w:val="14"/>
          <w:lang w:eastAsia="es-ES"/>
        </w:rPr>
      </w:pPr>
      <w:bookmarkStart w:id="0" w:name="_GoBack"/>
      <w:bookmarkEnd w:id="0"/>
      <w:r w:rsidRPr="00F2634A">
        <w:rPr>
          <w:rFonts w:ascii="Tahoma" w:eastAsia="Times New Roman" w:hAnsi="Tahoma" w:cs="Tahoma"/>
          <w:b/>
          <w:bCs/>
          <w:sz w:val="14"/>
          <w:szCs w:val="14"/>
          <w:lang w:eastAsia="es-ES"/>
        </w:rPr>
        <w:t>Resuelve:</w:t>
      </w:r>
    </w:p>
    <w:p w:rsidR="0075092C" w:rsidRPr="00F2634A" w:rsidRDefault="0075092C" w:rsidP="0075092C">
      <w:pPr>
        <w:spacing w:after="0" w:line="240" w:lineRule="auto"/>
        <w:jc w:val="both"/>
        <w:rPr>
          <w:rFonts w:ascii="Tahoma" w:eastAsia="Times New Roman" w:hAnsi="Tahoma" w:cs="Tahoma"/>
          <w:b/>
          <w:bCs/>
          <w:sz w:val="14"/>
          <w:szCs w:val="14"/>
          <w:lang w:eastAsia="es-ES"/>
        </w:rPr>
      </w:pPr>
      <w:r w:rsidRPr="00F2634A">
        <w:rPr>
          <w:rFonts w:ascii="Tahoma" w:eastAsia="Times New Roman" w:hAnsi="Tahoma" w:cs="Tahoma"/>
          <w:b/>
          <w:bCs/>
          <w:sz w:val="14"/>
          <w:szCs w:val="14"/>
          <w:lang w:eastAsia="es-ES"/>
        </w:rPr>
        <w:br/>
        <w:t>Establecer el procedimiento para obtener la exoneración provisional del Impuesto a las Tierras Rurales</w:t>
      </w:r>
    </w:p>
    <w:p w:rsidR="0075092C" w:rsidRPr="00F2634A" w:rsidRDefault="0075092C" w:rsidP="0075092C">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Artículo 1. Objeto.- </w:t>
      </w:r>
      <w:r w:rsidRPr="00F2634A">
        <w:rPr>
          <w:rFonts w:ascii="Tahoma" w:eastAsia="Times New Roman" w:hAnsi="Tahoma" w:cs="Tahoma"/>
          <w:sz w:val="14"/>
          <w:szCs w:val="14"/>
          <w:lang w:eastAsia="es-ES"/>
        </w:rPr>
        <w:t>Establecer el procedimiento para obtener la exoneración provisional para la declaración y pago del Impuesto a las Tierras Rurales.</w:t>
      </w:r>
    </w:p>
    <w:p w:rsidR="0075092C" w:rsidRPr="00F2634A" w:rsidRDefault="0075092C" w:rsidP="0075092C">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Artículo 2. Solicitud de exoneración provisional.- </w:t>
      </w:r>
      <w:r w:rsidRPr="00F2634A">
        <w:rPr>
          <w:rFonts w:ascii="Tahoma" w:eastAsia="Times New Roman" w:hAnsi="Tahoma" w:cs="Tahoma"/>
          <w:sz w:val="14"/>
          <w:szCs w:val="14"/>
          <w:lang w:eastAsia="es-ES"/>
        </w:rPr>
        <w:t>Hasta que el catastro al que se hace mención en el artículo 177 Ley Reformatoria para la Equidad Tributaria en el Ecuador sea remitido al Servicio de Rentas Internas, los sujetos pasivos de este impuesto que tuvieran derecho a alguna de sus exoneraciones, en forma previa a la declaración y pago del impuesto, en caso de no contar con la certificación definitiva del organismo competente, deberán ingresar la respectiva solicitud de exoneración provisional al Servicio de Rentas Internas, la misma que se aplicará para el ejercicio fiscal en curso y que deberá contener obligatoriamente los datos del sujeto pasivo así como la información detallada de cada predio conforme a los formatos establecidos por esta Administración Tributaria.</w:t>
      </w:r>
    </w:p>
    <w:p w:rsidR="0075092C" w:rsidRPr="00F2634A" w:rsidRDefault="0075092C" w:rsidP="0075092C">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Artículo 3. Vigencia.- </w:t>
      </w:r>
      <w:r w:rsidRPr="00F2634A">
        <w:rPr>
          <w:rFonts w:ascii="Tahoma" w:eastAsia="Times New Roman" w:hAnsi="Tahoma" w:cs="Tahoma"/>
          <w:sz w:val="14"/>
          <w:szCs w:val="14"/>
          <w:lang w:eastAsia="es-ES"/>
        </w:rPr>
        <w:t>La exoneración provisional tendrá vigencia por el término de 180 días contados a partir de la fecha de la solicitud del sujeto pasivo, tiempo en el cual deberá obtener la certificación definitiva de exoneración emitida por el organismo competente.</w:t>
      </w:r>
    </w:p>
    <w:p w:rsidR="0075092C" w:rsidRPr="00F2634A" w:rsidRDefault="0075092C" w:rsidP="0075092C">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t>Por una sola vez se podrá solicitar una ampliación a la exoneración provisional de hasta 30 días.</w:t>
      </w:r>
    </w:p>
    <w:p w:rsidR="0075092C" w:rsidRPr="00F2634A" w:rsidRDefault="0075092C" w:rsidP="0075092C">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Artículo 4. Declaración y pago del impuesto a las tierras rurales.- </w:t>
      </w:r>
      <w:r w:rsidRPr="00F2634A">
        <w:rPr>
          <w:rFonts w:ascii="Tahoma" w:eastAsia="Times New Roman" w:hAnsi="Tahoma" w:cs="Tahoma"/>
          <w:sz w:val="14"/>
          <w:szCs w:val="14"/>
          <w:lang w:eastAsia="es-ES"/>
        </w:rPr>
        <w:t>Sin perjuicio de la presentación de la solicitud de exoneración provisional, el sujeto pasivo deberá efectuar la declaración; de ser el caso pagar el impuesto a las tierras rurales dentro del plazo previsto en la normativa correspondiente.</w:t>
      </w:r>
    </w:p>
    <w:p w:rsidR="0075092C" w:rsidRPr="00F2634A" w:rsidRDefault="0075092C" w:rsidP="0075092C">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t>En caso de existir diferencias entre el número de hectáreas de las que se solicitó exoneración provisional y el número de hectáreas efectivamente exoneradas conforme a la información proporcionada a la Administración Tributaria por las entidades competentes, generándose un impuesto mayor al declarado, el sujeto pasivo deberá pagar dicha diferencia mediante la presentación de una declaración sustitutiva.</w:t>
      </w:r>
    </w:p>
    <w:p w:rsidR="0075092C" w:rsidRPr="00F2634A" w:rsidRDefault="0075092C" w:rsidP="0075092C">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t>Los sujetos pasivos que hubieren realizado pagos por concepto del Impuesto a las Tierras Rurales por tierras exoneradas de este impuesto de acuerdo al certificado de exoneración emitido por los organismos competentes, podrán presentar el correspondiente reclamo de pago indebido o pago en exceso de acuerdo a las disposiciones del Código Tributario.</w:t>
      </w:r>
    </w:p>
    <w:p w:rsidR="0075092C" w:rsidRPr="00F2634A" w:rsidRDefault="0075092C" w:rsidP="0075092C">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Artículo 5. Control Posterior.- </w:t>
      </w:r>
      <w:r w:rsidRPr="00F2634A">
        <w:rPr>
          <w:rFonts w:ascii="Tahoma" w:eastAsia="Times New Roman" w:hAnsi="Tahoma" w:cs="Tahoma"/>
          <w:sz w:val="14"/>
          <w:szCs w:val="14"/>
          <w:lang w:eastAsia="es-ES"/>
        </w:rPr>
        <w:t>La Administración Tributaria se reserva el derecho de ejercer las facultades previstas en el Código Tributario en caso de encontrar inconsistencias entre la información proporcionada y la certificada por el organismo competente.</w:t>
      </w:r>
    </w:p>
    <w:p w:rsidR="0075092C" w:rsidRPr="00F2634A" w:rsidRDefault="0075092C" w:rsidP="0075092C">
      <w:pPr>
        <w:spacing w:after="0" w:line="240" w:lineRule="auto"/>
        <w:jc w:val="both"/>
        <w:rPr>
          <w:rFonts w:ascii="Tahoma" w:eastAsia="Times New Roman" w:hAnsi="Tahoma" w:cs="Tahoma"/>
          <w:sz w:val="14"/>
          <w:szCs w:val="14"/>
          <w:u w:val="single"/>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DISPOSICIÓN TRANSITORIA ÚNICA.- </w:t>
      </w:r>
      <w:r w:rsidRPr="00F2634A">
        <w:rPr>
          <w:rFonts w:ascii="Tahoma" w:eastAsia="Times New Roman" w:hAnsi="Tahoma" w:cs="Tahoma"/>
          <w:sz w:val="14"/>
          <w:szCs w:val="14"/>
          <w:lang w:eastAsia="es-ES"/>
        </w:rPr>
        <w:t>La solicitud de exoneración provisional del Impuesto a las Tierras Rurales se debe presentar en las oficinas del Servicio de Rentas Internas a nivel nacional, hasta que se realice el desarrollo tecnológico para la implementación del servicio en línea a través del portal web </w:t>
      </w:r>
      <w:hyperlink r:id="rId7" w:history="1">
        <w:r w:rsidRPr="00F2634A">
          <w:rPr>
            <w:rStyle w:val="Hipervnculo"/>
            <w:rFonts w:ascii="Tahoma" w:eastAsia="Times New Roman" w:hAnsi="Tahoma" w:cs="Tahoma"/>
            <w:sz w:val="14"/>
            <w:szCs w:val="14"/>
            <w:lang w:eastAsia="es-ES"/>
          </w:rPr>
          <w:t>www.sri.gob.ec</w:t>
        </w:r>
      </w:hyperlink>
    </w:p>
    <w:p w:rsidR="0075092C" w:rsidRPr="00F2634A" w:rsidRDefault="0075092C" w:rsidP="0075092C">
      <w:pPr>
        <w:spacing w:after="0" w:line="240" w:lineRule="auto"/>
        <w:jc w:val="both"/>
        <w:rPr>
          <w:rFonts w:ascii="Tahoma" w:eastAsia="Times New Roman" w:hAnsi="Tahoma" w:cs="Tahoma"/>
          <w:sz w:val="14"/>
          <w:szCs w:val="14"/>
          <w:lang w:eastAsia="es-ES"/>
        </w:rPr>
      </w:pPr>
      <w:r w:rsidRPr="00F2634A">
        <w:rPr>
          <w:rFonts w:ascii="Tahoma" w:eastAsia="Times New Roman" w:hAnsi="Tahoma" w:cs="Tahoma"/>
          <w:sz w:val="14"/>
          <w:szCs w:val="14"/>
          <w:lang w:eastAsia="es-ES"/>
        </w:rPr>
        <w:br/>
      </w:r>
      <w:r w:rsidRPr="00F2634A">
        <w:rPr>
          <w:rFonts w:ascii="Tahoma" w:eastAsia="Times New Roman" w:hAnsi="Tahoma" w:cs="Tahoma"/>
          <w:b/>
          <w:bCs/>
          <w:sz w:val="14"/>
          <w:szCs w:val="14"/>
          <w:lang w:eastAsia="es-ES"/>
        </w:rPr>
        <w:t>DISPOSICIÓN FINAL.- </w:t>
      </w:r>
      <w:r w:rsidRPr="00F2634A">
        <w:rPr>
          <w:rFonts w:ascii="Tahoma" w:eastAsia="Times New Roman" w:hAnsi="Tahoma" w:cs="Tahoma"/>
          <w:sz w:val="14"/>
          <w:szCs w:val="14"/>
          <w:lang w:eastAsia="es-ES"/>
        </w:rPr>
        <w:t>La presente Resolución entrará en vigencia a partir del día siguiente al de su publicación en el Registro Oficial.</w:t>
      </w:r>
    </w:p>
    <w:p w:rsidR="008E49C1" w:rsidRDefault="0075092C"/>
    <w:sectPr w:rsidR="008E49C1">
      <w:headerReference w:type="default" r:id="rId8"/>
      <w:footerReference w:type="default" r:id="rId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5B4" w:rsidRDefault="0075092C">
    <w:pPr>
      <w:pStyle w:val="Piedepgina"/>
    </w:pPr>
    <w:r>
      <w:rPr>
        <w:noProof/>
        <w:lang w:val="es-EC" w:eastAsia="es-EC"/>
      </w:rPr>
      <mc:AlternateContent>
        <mc:Choice Requires="wps">
          <w:drawing>
            <wp:anchor distT="0" distB="0" distL="114300" distR="114300" simplePos="0" relativeHeight="251660288" behindDoc="0" locked="0" layoutInCell="0" allowOverlap="1" wp14:anchorId="75044F9C" wp14:editId="416F15F9">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0070C0"/>
                              <w:spacing w:val="60"/>
                            </w:rPr>
                            <w:alias w:val="Date"/>
                            <w:id w:val="-1274095822"/>
                            <w:showingPlcHd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915B4" w:rsidRPr="00A75150" w:rsidRDefault="0075092C">
                              <w:pPr>
                                <w:rPr>
                                  <w:color w:val="0070C0"/>
                                  <w:spacing w:val="60"/>
                                </w:rPr>
                              </w:pPr>
                              <w:r>
                                <w:rPr>
                                  <w:color w:val="0070C0"/>
                                  <w:spacing w:val="60"/>
                                </w:rPr>
                                <w:t xml:space="preserve">     </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6" style="position:absolute;margin-left:0;margin-top:0;width:40.25pt;height:486pt;z-index:251660288;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V3i4AIAADw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" o:allowincell="f" filled="f" stroked="f">
              <v:textbox style="layout-flow:vertical;mso-layout-flow-alt:bottom-to-top;mso-fit-shape-to-text:t">
                <w:txbxContent>
                  <w:sdt>
                    <w:sdtPr>
                      <w:rPr>
                        <w:color w:val="0070C0"/>
                        <w:spacing w:val="60"/>
                      </w:rPr>
                      <w:alias w:val="Date"/>
                      <w:id w:val="-1274095822"/>
                      <w:showingPlcHd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915B4" w:rsidRPr="00A75150" w:rsidRDefault="0075092C">
                        <w:pPr>
                          <w:rPr>
                            <w:color w:val="0070C0"/>
                            <w:spacing w:val="60"/>
                          </w:rPr>
                        </w:pPr>
                        <w:r>
                          <w:rPr>
                            <w:color w:val="0070C0"/>
                            <w:spacing w:val="60"/>
                          </w:rPr>
                          <w:t xml:space="preserve">     </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59264" behindDoc="0" locked="0" layoutInCell="0" allowOverlap="1" wp14:anchorId="5DAAC680" wp14:editId="7B8DFC8E">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59264;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7915B4" w:rsidRDefault="0075092C">
    <w:pPr>
      <w:pStyle w:val="Piedepgin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295151"/>
      <w:docPartObj>
        <w:docPartGallery w:val="Page Numbers (Top of Page)"/>
        <w:docPartUnique/>
      </w:docPartObj>
    </w:sdtPr>
    <w:sdtEndPr>
      <w:rPr>
        <w:noProof/>
      </w:rPr>
    </w:sdtEndPr>
    <w:sdtContent>
      <w:p w:rsidR="007915B4" w:rsidRDefault="0075092C">
        <w:pPr>
          <w:pStyle w:val="Encabezado"/>
        </w:pPr>
        <w:r w:rsidRPr="00047711">
          <w:rPr>
            <w:noProof/>
            <w:color w:val="0070C0"/>
            <w:sz w:val="28"/>
            <w:lang w:val="es-EC" w:eastAsia="es-EC"/>
          </w:rPr>
          <mc:AlternateContent>
            <mc:Choice Requires="wpg">
              <w:drawing>
                <wp:anchor distT="0" distB="0" distL="114300" distR="114300" simplePos="0" relativeHeight="251661312" behindDoc="0" locked="0" layoutInCell="0" allowOverlap="1" wp14:anchorId="667566DA" wp14:editId="40F79462">
                  <wp:simplePos x="0" y="0"/>
                  <wp:positionH relativeFrom="rightMargin">
                    <wp:posOffset>-5961060</wp:posOffset>
                  </wp:positionH>
                  <wp:positionV relativeFrom="bottomMargin">
                    <wp:posOffset>-9378909</wp:posOffset>
                  </wp:positionV>
                  <wp:extent cx="457200" cy="301625"/>
                  <wp:effectExtent l="1587" t="0" r="1588" b="1587"/>
                  <wp:wrapNone/>
                  <wp:docPr id="22"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flipH="1">
                            <a:off x="0" y="0"/>
                            <a:ext cx="457200" cy="301625"/>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3"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4"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469.35pt;margin-top:-738.5pt;width:36pt;height:23.75pt;rotation:90;flip:x;z-index:251661312;mso-position-horizontal-relative:right-margin-area;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yAsQA&#10;AADbAAAADwAAAGRycy9kb3ducmV2LnhtbESPQWvCQBSE70L/w/IKvYhujCAlukoptXgR0RTx+Mg+&#10;k9Ds27C70eivdwsFj8PMfMMsVr1pxIWcry0rmIwTEMSF1TWXCn7y9egdhA/IGhvLpOBGHlbLl8EC&#10;M22vvKfLIZQiQthnqKAKoc2k9EVFBv3YtsTRO1tnMETpSqkdXiPcNDJNkpk0WHNcqLClz4qK30Nn&#10;FHQ3f+q67ff9a7fzw3zqjumxN0q9vfYfcxCB+vAM/7c3WkE6hb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MgLEAAAA2wAAAA8AAAAAAAAAAAAAAAAAmAIAAGRycy9k&#10;b3ducmV2LnhtbFBLBQYAAAAABAAEAPUAAACJAw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2PMMA&#10;AADbAAAADwAAAGRycy9kb3ducmV2LnhtbESPUWvCMBSF3wf7D+EO9jbTioh0RpGBUtyLdvsBl+au&#10;KTY3WRNt+++XgeDj4ZzzHc56O9pO3KgPrWMF+SwDQVw73XKj4Ptr/7YCESKyxs4xKZgowHbz/LTG&#10;QruBz3SrYiMShEOBCkyMvpAy1IYshpnzxMn7cb3FmGTfSN3jkOC2k/MsW0qLLacFg54+DNWX6moV&#10;+OM+P3wOVX2dTr4Zf02ZH6ZSqdeXcfcOItIYH+F7u9QK5gv4/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I2PMMAAADbAAAADwAAAAAAAAAAAAAAAACYAgAAZHJzL2Rv&#10;d25yZXYueG1sUEsFBgAAAAAEAAQA9QAAAIgDA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Z8j8UA&#10;AADbAAAADwAAAGRycy9kb3ducmV2LnhtbESPQWvCQBSE74L/YXlCL0U3xlZs6ipSEAqK2OjB3h7Z&#10;1yRt9m3YXTX9926h4HGYmW+Y+bIzjbiQ87VlBeNRAoK4sLrmUsHxsB7OQPiArLGxTAp+ycNy0e/N&#10;MdP2yh90yUMpIoR9hgqqENpMSl9UZNCPbEscvS/rDIYoXSm1w2uEm0amSTKVBmuOCxW29FZR8ZOf&#10;jYKn3fZTbyaP3ynLSb5x6R5fTqVSD4Nu9QoiUBfu4f/2u1aQPsPf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nyPxQAAANsAAAAPAAAAAAAAAAAAAAAAAJgCAABkcnMv&#10;ZG93bnJldi54bWxQSwUGAAAAAAQABAD1AAAAigMAAAAA&#10;" adj="9730" filled="f" stroked="f" strokecolor="white"/>
                  <w10:wrap anchorx="margin" anchory="margin"/>
                </v:group>
              </w:pict>
            </mc:Fallback>
          </mc:AlternateContent>
        </w:r>
        <w:r w:rsidRPr="00047711">
          <w:rPr>
            <w:color w:val="0070C0"/>
            <w:sz w:val="28"/>
          </w:rPr>
          <w:fldChar w:fldCharType="begin"/>
        </w:r>
        <w:r w:rsidRPr="00047711">
          <w:rPr>
            <w:color w:val="0070C0"/>
            <w:sz w:val="28"/>
          </w:rPr>
          <w:instrText xml:space="preserve"> PAGE   \* MERGEFORMAT </w:instrText>
        </w:r>
        <w:r w:rsidRPr="00047711">
          <w:rPr>
            <w:color w:val="0070C0"/>
            <w:sz w:val="28"/>
          </w:rPr>
          <w:fldChar w:fldCharType="separate"/>
        </w:r>
        <w:r>
          <w:rPr>
            <w:noProof/>
            <w:color w:val="0070C0"/>
            <w:sz w:val="28"/>
          </w:rPr>
          <w:t>1</w:t>
        </w:r>
        <w:r w:rsidRPr="00047711">
          <w:rPr>
            <w:noProof/>
            <w:color w:val="0070C0"/>
            <w:sz w:val="28"/>
          </w:rPr>
          <w:fldChar w:fldCharType="end"/>
        </w:r>
        <w:r w:rsidRPr="00047711">
          <w:rPr>
            <w:noProof/>
            <w:color w:val="0070C0"/>
            <w:sz w:val="28"/>
          </w:rPr>
          <w:t xml:space="preserve">   </w:t>
        </w:r>
      </w:p>
    </w:sdtContent>
  </w:sdt>
  <w:p w:rsidR="007915B4" w:rsidRDefault="0075092C" w:rsidP="0004771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9pt;height:9pt" o:bullet="t">
        <v:imagedata r:id="rId1" o:title="BD15059_"/>
      </v:shape>
    </w:pict>
  </w:numPicBullet>
  <w:abstractNum w:abstractNumId="0">
    <w:nsid w:val="33050AD8"/>
    <w:multiLevelType w:val="hybridMultilevel"/>
    <w:tmpl w:val="29A61ACA"/>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3A853D28"/>
    <w:multiLevelType w:val="hybridMultilevel"/>
    <w:tmpl w:val="C3B6BA7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92C"/>
    <w:rsid w:val="00323ADC"/>
    <w:rsid w:val="0064604D"/>
    <w:rsid w:val="0075092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92C"/>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75092C"/>
  </w:style>
  <w:style w:type="character" w:styleId="Hipervnculo">
    <w:name w:val="Hyperlink"/>
    <w:basedOn w:val="Fuentedeprrafopredeter"/>
    <w:uiPriority w:val="99"/>
    <w:unhideWhenUsed/>
    <w:rsid w:val="0075092C"/>
    <w:rPr>
      <w:color w:val="0000FF"/>
      <w:u w:val="single"/>
    </w:rPr>
  </w:style>
  <w:style w:type="paragraph" w:styleId="Prrafodelista">
    <w:name w:val="List Paragraph"/>
    <w:basedOn w:val="Normal"/>
    <w:uiPriority w:val="34"/>
    <w:qFormat/>
    <w:rsid w:val="0075092C"/>
    <w:pPr>
      <w:ind w:left="720"/>
      <w:contextualSpacing/>
    </w:pPr>
  </w:style>
  <w:style w:type="paragraph" w:styleId="Encabezado">
    <w:name w:val="header"/>
    <w:basedOn w:val="Normal"/>
    <w:link w:val="EncabezadoCar"/>
    <w:uiPriority w:val="99"/>
    <w:unhideWhenUsed/>
    <w:rsid w:val="0075092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5092C"/>
    <w:rPr>
      <w:lang w:val="es-ES"/>
    </w:rPr>
  </w:style>
  <w:style w:type="paragraph" w:styleId="Piedepgina">
    <w:name w:val="footer"/>
    <w:basedOn w:val="Normal"/>
    <w:link w:val="PiedepginaCar"/>
    <w:uiPriority w:val="99"/>
    <w:unhideWhenUsed/>
    <w:rsid w:val="0075092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5092C"/>
    <w:rPr>
      <w:lang w:val="es-ES"/>
    </w:rPr>
  </w:style>
  <w:style w:type="paragraph" w:styleId="Textodeglobo">
    <w:name w:val="Balloon Text"/>
    <w:basedOn w:val="Normal"/>
    <w:link w:val="TextodegloboCar"/>
    <w:uiPriority w:val="99"/>
    <w:semiHidden/>
    <w:unhideWhenUsed/>
    <w:rsid w:val="0075092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92C"/>
    <w:rPr>
      <w:rFonts w:ascii="Tahoma" w:hAnsi="Tahoma" w:cs="Tahoma"/>
      <w:sz w:val="16"/>
      <w:szCs w:val="1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92C"/>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75092C"/>
  </w:style>
  <w:style w:type="character" w:styleId="Hipervnculo">
    <w:name w:val="Hyperlink"/>
    <w:basedOn w:val="Fuentedeprrafopredeter"/>
    <w:uiPriority w:val="99"/>
    <w:unhideWhenUsed/>
    <w:rsid w:val="0075092C"/>
    <w:rPr>
      <w:color w:val="0000FF"/>
      <w:u w:val="single"/>
    </w:rPr>
  </w:style>
  <w:style w:type="paragraph" w:styleId="Prrafodelista">
    <w:name w:val="List Paragraph"/>
    <w:basedOn w:val="Normal"/>
    <w:uiPriority w:val="34"/>
    <w:qFormat/>
    <w:rsid w:val="0075092C"/>
    <w:pPr>
      <w:ind w:left="720"/>
      <w:contextualSpacing/>
    </w:pPr>
  </w:style>
  <w:style w:type="paragraph" w:styleId="Encabezado">
    <w:name w:val="header"/>
    <w:basedOn w:val="Normal"/>
    <w:link w:val="EncabezadoCar"/>
    <w:uiPriority w:val="99"/>
    <w:unhideWhenUsed/>
    <w:rsid w:val="0075092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5092C"/>
    <w:rPr>
      <w:lang w:val="es-ES"/>
    </w:rPr>
  </w:style>
  <w:style w:type="paragraph" w:styleId="Piedepgina">
    <w:name w:val="footer"/>
    <w:basedOn w:val="Normal"/>
    <w:link w:val="PiedepginaCar"/>
    <w:uiPriority w:val="99"/>
    <w:unhideWhenUsed/>
    <w:rsid w:val="0075092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5092C"/>
    <w:rPr>
      <w:lang w:val="es-ES"/>
    </w:rPr>
  </w:style>
  <w:style w:type="paragraph" w:styleId="Textodeglobo">
    <w:name w:val="Balloon Text"/>
    <w:basedOn w:val="Normal"/>
    <w:link w:val="TextodegloboCar"/>
    <w:uiPriority w:val="99"/>
    <w:semiHidden/>
    <w:unhideWhenUsed/>
    <w:rsid w:val="0075092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92C"/>
    <w:rPr>
      <w:rFonts w:ascii="Tahoma" w:hAnsi="Tahoma" w:cs="Tahoma"/>
      <w:sz w:val="16"/>
      <w:szCs w:val="1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hyperlink" Target="http://www.sri.gob.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822142')"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539</Words>
  <Characters>2969</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2016-03-21T16:13:00Z</dcterms:created>
  <dcterms:modified xsi:type="dcterms:W3CDTF">2016-03-21T16:14:00Z</dcterms:modified>
</cp:coreProperties>
</file>